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D8" w:rsidRDefault="00464CD8" w:rsidP="00464CD8">
      <w:pPr>
        <w:pStyle w:val="Tytu"/>
        <w:spacing w:before="0" w:after="0"/>
        <w:contextualSpacing/>
        <w:rPr>
          <w:rFonts w:ascii="Times New Roman" w:hAnsi="Times New Roman"/>
          <w:sz w:val="22"/>
          <w:szCs w:val="22"/>
        </w:rPr>
      </w:pPr>
    </w:p>
    <w:p w:rsidR="00464CD8" w:rsidRPr="000C5DDD" w:rsidRDefault="00464CD8" w:rsidP="00464CD8">
      <w:pPr>
        <w:pStyle w:val="Tytu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464CD8" w:rsidRDefault="00464CD8" w:rsidP="00464CD8">
      <w:pPr>
        <w:pStyle w:val="Tytu"/>
        <w:spacing w:before="0" w:after="0"/>
        <w:contextualSpacing/>
        <w:rPr>
          <w:noProof/>
        </w:rPr>
      </w:pPr>
      <w:r>
        <w:rPr>
          <w:noProof/>
        </w:rPr>
        <w:drawing>
          <wp:inline distT="0" distB="0" distL="0" distR="0" wp14:anchorId="71C50B6B" wp14:editId="2F540EBE">
            <wp:extent cx="2812473" cy="266700"/>
            <wp:effectExtent l="0" t="0" r="6985" b="0"/>
            <wp:docPr id="3" name="Obraz 3" descr="logo_stopklatk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topklatkaS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80" cy="2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D8" w:rsidRDefault="00464CD8" w:rsidP="00464CD8">
      <w:pPr>
        <w:pStyle w:val="Tytu"/>
        <w:spacing w:before="0" w:after="0"/>
        <w:contextualSpacing/>
        <w:rPr>
          <w:rFonts w:ascii="Times New Roman" w:hAnsi="Times New Roman"/>
          <w:sz w:val="22"/>
          <w:szCs w:val="22"/>
        </w:rPr>
      </w:pPr>
    </w:p>
    <w:p w:rsidR="00464CD8" w:rsidRPr="000C5DDD" w:rsidRDefault="00464CD8" w:rsidP="00464CD8">
      <w:pPr>
        <w:pStyle w:val="Tytu"/>
        <w:spacing w:before="0" w:after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6C66710" wp14:editId="446CBB10">
            <wp:extent cx="2076450" cy="4276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latka tv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44" cy="4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D8" w:rsidRPr="000C5DDD" w:rsidRDefault="00464CD8" w:rsidP="00464CD8">
      <w:pPr>
        <w:pStyle w:val="Tytu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464CD8" w:rsidRDefault="00464CD8" w:rsidP="00464CD8">
      <w:pPr>
        <w:pStyle w:val="Tytu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464CD8" w:rsidRPr="000C5DDD" w:rsidRDefault="00464CD8" w:rsidP="00464CD8">
      <w:pPr>
        <w:pStyle w:val="Tytu"/>
        <w:spacing w:before="0" w:after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464CD8" w:rsidRPr="00EC405D" w:rsidRDefault="00464CD8" w:rsidP="00464CD8">
      <w:pPr>
        <w:pStyle w:val="Tytu"/>
        <w:spacing w:before="0"/>
        <w:contextualSpacing/>
        <w:rPr>
          <w:rFonts w:ascii="Times New Roman" w:hAnsi="Times New Roman"/>
          <w:color w:val="1F4E79" w:themeColor="accent1" w:themeShade="80"/>
          <w:sz w:val="22"/>
          <w:szCs w:val="22"/>
        </w:rPr>
      </w:pPr>
      <w:r>
        <w:rPr>
          <w:rFonts w:ascii="Times New Roman" w:hAnsi="Times New Roman"/>
          <w:color w:val="1F4E79" w:themeColor="accent1" w:themeShade="80"/>
          <w:sz w:val="22"/>
          <w:szCs w:val="22"/>
        </w:rPr>
        <w:t xml:space="preserve">Raport miesięczny za </w:t>
      </w:r>
      <w:r w:rsidR="00C5168B">
        <w:rPr>
          <w:rFonts w:ascii="Times New Roman" w:hAnsi="Times New Roman"/>
          <w:color w:val="1F4E79" w:themeColor="accent1" w:themeShade="80"/>
          <w:sz w:val="22"/>
          <w:szCs w:val="22"/>
        </w:rPr>
        <w:t>LISTOPAD</w:t>
      </w:r>
      <w:r w:rsidRPr="00EC405D">
        <w:rPr>
          <w:rFonts w:ascii="Times New Roman" w:hAnsi="Times New Roman"/>
          <w:color w:val="1F4E79" w:themeColor="accent1" w:themeShade="80"/>
          <w:sz w:val="22"/>
          <w:szCs w:val="22"/>
        </w:rPr>
        <w:t xml:space="preserve"> 2017 r.</w:t>
      </w:r>
    </w:p>
    <w:p w:rsidR="00464CD8" w:rsidRPr="00EC405D" w:rsidRDefault="00464CD8" w:rsidP="00464CD8">
      <w:pPr>
        <w:spacing w:before="0" w:after="0"/>
        <w:contextualSpacing/>
        <w:rPr>
          <w:rFonts w:ascii="Times New Roman" w:hAnsi="Times New Roman" w:cs="Times New Roman"/>
          <w:color w:val="1F4E79" w:themeColor="accent1" w:themeShade="80"/>
        </w:rPr>
      </w:pPr>
    </w:p>
    <w:p w:rsidR="00464CD8" w:rsidRPr="00AA4786" w:rsidRDefault="00464CD8" w:rsidP="00464CD8">
      <w:pPr>
        <w:spacing w:before="0" w:after="0"/>
        <w:contextualSpacing/>
        <w:rPr>
          <w:rFonts w:ascii="Times New Roman" w:hAnsi="Times New Roman" w:cs="Times New Roman"/>
        </w:rPr>
      </w:pPr>
      <w:r w:rsidRPr="006E1E57">
        <w:rPr>
          <w:rFonts w:ascii="Times New Roman" w:hAnsi="Times New Roman" w:cs="Times New Roman"/>
        </w:rPr>
        <w:t>Zarząd Stopklatka S.A. („Spółka”, „Emitent”) z siedzibą w Warszawie, działając w oparciu</w:t>
      </w:r>
      <w:r w:rsidRPr="006E1E57">
        <w:rPr>
          <w:rFonts w:ascii="Times New Roman" w:hAnsi="Times New Roman" w:cs="Times New Roman"/>
        </w:rPr>
        <w:br/>
        <w:t xml:space="preserve">o postanowienia punktu 16 Załącznika do Uchwały Nr 293/2010 Zarządu Giełdy Papierów Wartościowych w Warszawie S.A. z dnia 31 marca 2010 r. "Dobre Praktyki Spółek Notowanych </w:t>
      </w:r>
      <w:r w:rsidRPr="006E1E57">
        <w:rPr>
          <w:rFonts w:ascii="Times New Roman" w:hAnsi="Times New Roman" w:cs="Times New Roman"/>
        </w:rPr>
        <w:br/>
        <w:t xml:space="preserve">na </w:t>
      </w:r>
      <w:proofErr w:type="spellStart"/>
      <w:r w:rsidRPr="006E1E57">
        <w:rPr>
          <w:rFonts w:ascii="Times New Roman" w:hAnsi="Times New Roman" w:cs="Times New Roman"/>
        </w:rPr>
        <w:t>NewConnect</w:t>
      </w:r>
      <w:proofErr w:type="spellEnd"/>
      <w:r w:rsidRPr="006E1E57">
        <w:rPr>
          <w:rFonts w:ascii="Times New Roman" w:hAnsi="Times New Roman" w:cs="Times New Roman"/>
        </w:rPr>
        <w:t>” niniejszym przekazuje do publicznej wiadomości raport miesięczny Em</w:t>
      </w:r>
      <w:r>
        <w:rPr>
          <w:rFonts w:ascii="Times New Roman" w:hAnsi="Times New Roman" w:cs="Times New Roman"/>
        </w:rPr>
        <w:t xml:space="preserve">itenta </w:t>
      </w:r>
      <w:r>
        <w:rPr>
          <w:rFonts w:ascii="Times New Roman" w:hAnsi="Times New Roman" w:cs="Times New Roman"/>
        </w:rPr>
        <w:br/>
        <w:t xml:space="preserve">za </w:t>
      </w:r>
      <w:r w:rsidR="00C5168B">
        <w:rPr>
          <w:rFonts w:ascii="Times New Roman" w:hAnsi="Times New Roman" w:cs="Times New Roman"/>
        </w:rPr>
        <w:t>listopad</w:t>
      </w:r>
      <w:r>
        <w:rPr>
          <w:rFonts w:ascii="Times New Roman" w:hAnsi="Times New Roman" w:cs="Times New Roman"/>
        </w:rPr>
        <w:t xml:space="preserve"> 2017</w:t>
      </w:r>
      <w:r w:rsidRPr="006E1E57">
        <w:rPr>
          <w:rFonts w:ascii="Times New Roman" w:hAnsi="Times New Roman" w:cs="Times New Roman"/>
        </w:rPr>
        <w:t xml:space="preserve"> r.</w:t>
      </w:r>
    </w:p>
    <w:p w:rsidR="00464CD8" w:rsidRPr="006E1E57" w:rsidRDefault="00464CD8" w:rsidP="00464CD8">
      <w:pPr>
        <w:spacing w:before="0" w:after="0"/>
        <w:contextualSpacing/>
        <w:rPr>
          <w:rFonts w:ascii="Times New Roman" w:hAnsi="Times New Roman" w:cs="Times New Roman"/>
          <w:b/>
          <w:color w:val="323E4F" w:themeColor="text2" w:themeShade="BF"/>
        </w:rPr>
      </w:pPr>
    </w:p>
    <w:p w:rsidR="00464CD8" w:rsidRPr="00EC405D" w:rsidRDefault="00464CD8" w:rsidP="00464CD8">
      <w:pPr>
        <w:spacing w:before="0" w:after="0"/>
        <w:ind w:left="284" w:hanging="284"/>
        <w:contextualSpacing/>
        <w:rPr>
          <w:rFonts w:ascii="Times New Roman" w:hAnsi="Times New Roman" w:cs="Times New Roman"/>
          <w:b/>
          <w:color w:val="1F4E79" w:themeColor="accent1" w:themeShade="80"/>
        </w:rPr>
      </w:pPr>
      <w:r w:rsidRPr="00EC405D">
        <w:rPr>
          <w:rFonts w:ascii="Times New Roman" w:hAnsi="Times New Roman" w:cs="Times New Roman"/>
          <w:b/>
          <w:color w:val="1F4E79" w:themeColor="accent1" w:themeShade="80"/>
        </w:rPr>
        <w:t xml:space="preserve">1. Informacje na temat wystąpienia tendencji i zdarzeń w otoczeniu rynkowym Emitenta, </w:t>
      </w:r>
      <w:r w:rsidRPr="00EC405D">
        <w:rPr>
          <w:rFonts w:ascii="Times New Roman" w:hAnsi="Times New Roman" w:cs="Times New Roman"/>
          <w:b/>
          <w:color w:val="1F4E79" w:themeColor="accent1" w:themeShade="80"/>
        </w:rPr>
        <w:br/>
        <w:t xml:space="preserve">które w ocenie Emitenta mogą mieć w przyszłości istotne skutki dla kondycji finansowej </w:t>
      </w:r>
      <w:r w:rsidRPr="00EC405D">
        <w:rPr>
          <w:rFonts w:ascii="Times New Roman" w:hAnsi="Times New Roman" w:cs="Times New Roman"/>
          <w:b/>
          <w:color w:val="1F4E79" w:themeColor="accent1" w:themeShade="80"/>
        </w:rPr>
        <w:br/>
        <w:t xml:space="preserve">oraz wyników finansowych. </w:t>
      </w:r>
    </w:p>
    <w:p w:rsidR="00464CD8" w:rsidRPr="006E1E57" w:rsidRDefault="00464CD8" w:rsidP="00464CD8">
      <w:pPr>
        <w:spacing w:before="0" w:after="0"/>
        <w:contextualSpacing/>
        <w:rPr>
          <w:rFonts w:ascii="Times New Roman" w:hAnsi="Times New Roman" w:cs="Times New Roman"/>
          <w:b/>
          <w:color w:val="323E4F" w:themeColor="text2" w:themeShade="BF"/>
        </w:rPr>
      </w:pPr>
    </w:p>
    <w:p w:rsidR="00464CD8" w:rsidRPr="004D6EED" w:rsidRDefault="00464CD8" w:rsidP="00464CD8">
      <w:pPr>
        <w:spacing w:before="0" w:after="0"/>
        <w:contextualSpacing/>
        <w:rPr>
          <w:rFonts w:ascii="Times New Roman" w:hAnsi="Times New Roman" w:cs="Times New Roman"/>
          <w:b/>
          <w:bCs/>
          <w:color w:val="000000"/>
          <w:u w:val="single"/>
        </w:rPr>
      </w:pPr>
      <w:r w:rsidRPr="004D6EED">
        <w:rPr>
          <w:rFonts w:ascii="Times New Roman" w:hAnsi="Times New Roman" w:cs="Times New Roman"/>
          <w:b/>
          <w:bCs/>
          <w:color w:val="000000"/>
          <w:u w:val="single"/>
        </w:rPr>
        <w:t>Działalność telewizyjna – Stopklatka TV</w:t>
      </w:r>
      <w:r w:rsidRPr="004D6EED">
        <w:rPr>
          <w:rStyle w:val="Odwoanieprzypisudolnego"/>
          <w:rFonts w:ascii="Times New Roman" w:hAnsi="Times New Roman" w:cs="Times New Roman"/>
          <w:b/>
          <w:bCs/>
          <w:color w:val="000000"/>
          <w:u w:val="single"/>
        </w:rPr>
        <w:footnoteReference w:id="1"/>
      </w:r>
    </w:p>
    <w:p w:rsidR="00C5168B" w:rsidRPr="00C5168B" w:rsidRDefault="00C5168B" w:rsidP="00C5168B">
      <w:pPr>
        <w:rPr>
          <w:rFonts w:ascii="Times New Roman" w:hAnsi="Times New Roman" w:cs="Times New Roman"/>
        </w:rPr>
      </w:pPr>
      <w:r w:rsidRPr="00C5168B">
        <w:rPr>
          <w:rFonts w:ascii="Times New Roman" w:hAnsi="Times New Roman" w:cs="Times New Roman"/>
        </w:rPr>
        <w:t>Stopklatka TV zakończyła listopad 2017 r. ze średniomiesięcznym udziałem w rynku oglądalności na poziomie 0,91% w grupie komercyjnej (SHR, 16-49) oraz 0,90% wśród ogółu widowni (SHR, All4+). Średnia minutowa oglądalność stacji wyniosła w omawianym czasie 23 tys. odbiorców w wieku 16-49 lat oraz 60,9 tys. wszystkich widzów powyżej 4 lat, co oznacza wzrosty odpowiednio o 5,3% i 4,5% wobec października 2017.</w:t>
      </w:r>
    </w:p>
    <w:p w:rsidR="00C5168B" w:rsidRPr="00C5168B" w:rsidRDefault="00C5168B" w:rsidP="00C5168B">
      <w:pPr>
        <w:rPr>
          <w:rFonts w:ascii="Times New Roman" w:hAnsi="Times New Roman" w:cs="Times New Roman"/>
        </w:rPr>
      </w:pPr>
    </w:p>
    <w:p w:rsidR="00C5168B" w:rsidRPr="00C5168B" w:rsidRDefault="00C5168B" w:rsidP="00C5168B">
      <w:pPr>
        <w:rPr>
          <w:rFonts w:ascii="Times New Roman" w:hAnsi="Times New Roman" w:cs="Times New Roman"/>
        </w:rPr>
      </w:pPr>
      <w:r w:rsidRPr="00C5168B">
        <w:rPr>
          <w:rFonts w:ascii="Times New Roman" w:hAnsi="Times New Roman" w:cs="Times New Roman"/>
        </w:rPr>
        <w:t>Porównując dane z listopada 2017 r. do wyników z poprzedniego miesiąca, Stopklatka TV odnotowała również wzrosty wskaźników RCH i ATS. Średni dzienny zasięg wyniósł w omawianym okresie 1,14 mln. widzów komercyjnych (więcej o 5,6% niż w październiku) natomiast średni dzienny czas, którzy odbiorcy z tej samej grupy spędzali w listopadzie na oglądaniu Stopklatki TV sięgnął 28 minut i</w:t>
      </w:r>
      <w:r w:rsidR="00DD1529">
        <w:rPr>
          <w:rFonts w:ascii="Times New Roman" w:hAnsi="Times New Roman" w:cs="Times New Roman"/>
        </w:rPr>
        <w:t> </w:t>
      </w:r>
      <w:r w:rsidRPr="00C5168B">
        <w:rPr>
          <w:rFonts w:ascii="Times New Roman" w:hAnsi="Times New Roman" w:cs="Times New Roman"/>
        </w:rPr>
        <w:t>20</w:t>
      </w:r>
      <w:r w:rsidR="00DD1529">
        <w:rPr>
          <w:rFonts w:ascii="Times New Roman" w:hAnsi="Times New Roman" w:cs="Times New Roman"/>
        </w:rPr>
        <w:t> </w:t>
      </w:r>
      <w:r w:rsidRPr="00C5168B">
        <w:rPr>
          <w:rFonts w:ascii="Times New Roman" w:hAnsi="Times New Roman" w:cs="Times New Roman"/>
        </w:rPr>
        <w:t>sekund (dłużej o 10 sekund względem ubiegłego miesiąca).</w:t>
      </w:r>
    </w:p>
    <w:p w:rsidR="00C5168B" w:rsidRPr="00C5168B" w:rsidRDefault="00C5168B" w:rsidP="00C5168B">
      <w:pPr>
        <w:rPr>
          <w:rFonts w:ascii="Times New Roman" w:hAnsi="Times New Roman" w:cs="Times New Roman"/>
        </w:rPr>
      </w:pPr>
    </w:p>
    <w:p w:rsidR="0000062B" w:rsidRPr="0000062B" w:rsidRDefault="00C5168B" w:rsidP="00C5168B">
      <w:pPr>
        <w:rPr>
          <w:rFonts w:ascii="Times New Roman" w:hAnsi="Times New Roman" w:cs="Times New Roman"/>
        </w:rPr>
      </w:pPr>
      <w:r w:rsidRPr="00C5168B">
        <w:rPr>
          <w:rFonts w:ascii="Times New Roman" w:hAnsi="Times New Roman" w:cs="Times New Roman"/>
        </w:rPr>
        <w:t xml:space="preserve">Na uwagę zasługują także wyższe rezultaty Stopklatki TV wśród widzów, oglądających telewizję za pośrednictwem sieci kablowych. W porównaniu do listopada 2016 roku udział w tym segmencie zwiększył się o 15,7%, średnia minutowa oglądalność o 10,1%, natomiast ATS o 20,7% (dane: Cable, </w:t>
      </w:r>
      <w:proofErr w:type="spellStart"/>
      <w:r w:rsidRPr="00C5168B">
        <w:rPr>
          <w:rFonts w:ascii="Times New Roman" w:hAnsi="Times New Roman" w:cs="Times New Roman"/>
        </w:rPr>
        <w:t>All</w:t>
      </w:r>
      <w:proofErr w:type="spellEnd"/>
      <w:r w:rsidRPr="00C5168B">
        <w:rPr>
          <w:rFonts w:ascii="Times New Roman" w:hAnsi="Times New Roman" w:cs="Times New Roman"/>
        </w:rPr>
        <w:t xml:space="preserve"> 16-49).</w:t>
      </w:r>
    </w:p>
    <w:p w:rsidR="00DD072C" w:rsidRPr="00DD072C" w:rsidRDefault="00DD072C" w:rsidP="00DD072C">
      <w:pPr>
        <w:spacing w:before="0" w:after="0"/>
        <w:rPr>
          <w:rFonts w:ascii="Times New Roman" w:hAnsi="Times New Roman" w:cs="Times New Roman"/>
        </w:rPr>
      </w:pPr>
    </w:p>
    <w:p w:rsidR="00464CD8" w:rsidRPr="00EC405D" w:rsidRDefault="00464CD8" w:rsidP="00DD072C">
      <w:pPr>
        <w:pStyle w:val="Nagwek1"/>
        <w:spacing w:before="0" w:after="0"/>
        <w:ind w:left="0"/>
        <w:contextualSpacing/>
        <w:rPr>
          <w:rFonts w:ascii="Times New Roman" w:hAnsi="Times New Roman"/>
          <w:color w:val="1F4E79" w:themeColor="accent1" w:themeShade="80"/>
          <w:szCs w:val="22"/>
        </w:rPr>
      </w:pPr>
      <w:r w:rsidRPr="00EC405D">
        <w:rPr>
          <w:rFonts w:ascii="Times New Roman" w:hAnsi="Times New Roman"/>
          <w:color w:val="1F4E79" w:themeColor="accent1" w:themeShade="80"/>
          <w:szCs w:val="22"/>
        </w:rPr>
        <w:lastRenderedPageBreak/>
        <w:t>2. Zestawienie informacji opublikowanych przez Emitenta w okresie objętym raportem.</w:t>
      </w:r>
    </w:p>
    <w:p w:rsidR="00464CD8" w:rsidRPr="006E1E57" w:rsidRDefault="00464CD8" w:rsidP="00DD072C">
      <w:pPr>
        <w:pStyle w:val="Nagwek1"/>
        <w:spacing w:before="0" w:after="0"/>
        <w:ind w:left="0"/>
        <w:contextualSpacing/>
        <w:rPr>
          <w:rFonts w:ascii="Times New Roman" w:hAnsi="Times New Roman"/>
          <w:szCs w:val="22"/>
        </w:rPr>
      </w:pPr>
    </w:p>
    <w:p w:rsidR="008F3A3A" w:rsidRPr="00C5168B" w:rsidRDefault="008F3A3A" w:rsidP="00464CD8">
      <w:pPr>
        <w:pStyle w:val="Nagwek1"/>
        <w:spacing w:before="0" w:after="0"/>
        <w:ind w:left="0"/>
        <w:contextualSpacing/>
        <w:rPr>
          <w:rFonts w:ascii="Times New Roman" w:hAnsi="Times New Roman"/>
          <w:i/>
          <w:szCs w:val="22"/>
        </w:rPr>
      </w:pPr>
      <w:r w:rsidRPr="00C5168B">
        <w:rPr>
          <w:rFonts w:ascii="Times New Roman" w:hAnsi="Times New Roman"/>
          <w:i/>
          <w:szCs w:val="22"/>
        </w:rPr>
        <w:t>RAPORTY EBI</w:t>
      </w:r>
    </w:p>
    <w:tbl>
      <w:tblPr>
        <w:tblW w:w="912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4"/>
        <w:gridCol w:w="2002"/>
        <w:gridCol w:w="1071"/>
        <w:gridCol w:w="4570"/>
      </w:tblGrid>
      <w:tr w:rsidR="00464CD8" w:rsidRPr="00C5168B" w:rsidTr="0099246A">
        <w:trPr>
          <w:cantSplit/>
          <w:trHeight w:val="190"/>
        </w:trPr>
        <w:tc>
          <w:tcPr>
            <w:tcW w:w="1484" w:type="dxa"/>
            <w:shd w:val="clear" w:color="auto" w:fill="FFFFFF"/>
            <w:vAlign w:val="center"/>
          </w:tcPr>
          <w:p w:rsidR="00464CD8" w:rsidRPr="00C5168B" w:rsidRDefault="00464CD8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497982649"/>
            <w:r w:rsidRPr="00C5168B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464CD8" w:rsidRPr="00C5168B" w:rsidRDefault="00464CD8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68B">
              <w:rPr>
                <w:rFonts w:ascii="Times New Roman" w:hAnsi="Times New Roman" w:cs="Times New Roman"/>
                <w:b/>
                <w:bCs/>
              </w:rPr>
              <w:t>Rodzaj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64CD8" w:rsidRPr="00C5168B" w:rsidRDefault="00464CD8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68B">
              <w:rPr>
                <w:rFonts w:ascii="Times New Roman" w:hAnsi="Times New Roman" w:cs="Times New Roman"/>
                <w:b/>
                <w:bCs/>
              </w:rPr>
              <w:t>Numer</w:t>
            </w:r>
          </w:p>
        </w:tc>
        <w:tc>
          <w:tcPr>
            <w:tcW w:w="4570" w:type="dxa"/>
            <w:shd w:val="clear" w:color="auto" w:fill="FFFFFF"/>
            <w:vAlign w:val="center"/>
          </w:tcPr>
          <w:p w:rsidR="00464CD8" w:rsidRPr="00C5168B" w:rsidRDefault="00464CD8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68B">
              <w:rPr>
                <w:rFonts w:ascii="Times New Roman" w:hAnsi="Times New Roman" w:cs="Times New Roman"/>
                <w:b/>
                <w:bCs/>
              </w:rPr>
              <w:t>Temat raportu</w:t>
            </w:r>
          </w:p>
        </w:tc>
      </w:tr>
      <w:tr w:rsidR="009F3EDE" w:rsidRPr="004D6EED" w:rsidTr="0099246A">
        <w:trPr>
          <w:cantSplit/>
          <w:trHeight w:val="190"/>
        </w:trPr>
        <w:tc>
          <w:tcPr>
            <w:tcW w:w="1484" w:type="dxa"/>
            <w:shd w:val="clear" w:color="auto" w:fill="FFFFFF"/>
            <w:vAlign w:val="center"/>
          </w:tcPr>
          <w:p w:rsidR="009F3EDE" w:rsidRPr="00C5168B" w:rsidRDefault="00C30D56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5168B">
              <w:rPr>
                <w:rFonts w:ascii="Times New Roman" w:hAnsi="Times New Roman" w:cs="Times New Roman"/>
                <w:bCs/>
              </w:rPr>
              <w:t>1</w:t>
            </w:r>
            <w:r w:rsidR="00C5168B" w:rsidRPr="00C5168B">
              <w:rPr>
                <w:rFonts w:ascii="Times New Roman" w:hAnsi="Times New Roman" w:cs="Times New Roman"/>
                <w:bCs/>
              </w:rPr>
              <w:t>4</w:t>
            </w:r>
            <w:r w:rsidR="00985C85" w:rsidRPr="00C5168B">
              <w:rPr>
                <w:rFonts w:ascii="Times New Roman" w:hAnsi="Times New Roman" w:cs="Times New Roman"/>
                <w:bCs/>
              </w:rPr>
              <w:t>/</w:t>
            </w:r>
            <w:r w:rsidRPr="00C5168B">
              <w:rPr>
                <w:rFonts w:ascii="Times New Roman" w:hAnsi="Times New Roman" w:cs="Times New Roman"/>
                <w:bCs/>
              </w:rPr>
              <w:t>1</w:t>
            </w:r>
            <w:r w:rsidR="00C5168B" w:rsidRPr="00C5168B">
              <w:rPr>
                <w:rFonts w:ascii="Times New Roman" w:hAnsi="Times New Roman" w:cs="Times New Roman"/>
                <w:bCs/>
              </w:rPr>
              <w:t>1</w:t>
            </w:r>
            <w:r w:rsidR="00985C85" w:rsidRPr="00C5168B">
              <w:rPr>
                <w:rFonts w:ascii="Times New Roman" w:hAnsi="Times New Roman" w:cs="Times New Roman"/>
                <w:bCs/>
              </w:rPr>
              <w:t>/2017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9F3EDE" w:rsidRPr="00C5168B" w:rsidRDefault="008F3A3A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5168B">
              <w:rPr>
                <w:rFonts w:ascii="Times New Roman" w:hAnsi="Times New Roman" w:cs="Times New Roman"/>
                <w:bCs/>
              </w:rPr>
              <w:t>Bieżący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9F3EDE" w:rsidRPr="00C5168B" w:rsidRDefault="00C5168B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5168B">
              <w:rPr>
                <w:rFonts w:ascii="Times New Roman" w:hAnsi="Times New Roman" w:cs="Times New Roman"/>
                <w:bCs/>
              </w:rPr>
              <w:t>20</w:t>
            </w:r>
            <w:r w:rsidR="00985C85" w:rsidRPr="00C5168B">
              <w:rPr>
                <w:rFonts w:ascii="Times New Roman" w:hAnsi="Times New Roman" w:cs="Times New Roman"/>
                <w:bCs/>
              </w:rPr>
              <w:t>/2017</w:t>
            </w:r>
          </w:p>
        </w:tc>
        <w:tc>
          <w:tcPr>
            <w:tcW w:w="4570" w:type="dxa"/>
            <w:shd w:val="clear" w:color="auto" w:fill="FFFFFF"/>
            <w:vAlign w:val="center"/>
          </w:tcPr>
          <w:p w:rsidR="009F3EDE" w:rsidRPr="004D6EED" w:rsidRDefault="00C30D56" w:rsidP="00464CD8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C5168B">
              <w:rPr>
                <w:rFonts w:ascii="Times New Roman" w:hAnsi="Times New Roman" w:cs="Times New Roman"/>
              </w:rPr>
              <w:t xml:space="preserve">Raport miesięczny Stopklatka S.A. za </w:t>
            </w:r>
            <w:r w:rsidR="00C5168B" w:rsidRPr="00C5168B">
              <w:rPr>
                <w:rFonts w:ascii="Times New Roman" w:hAnsi="Times New Roman" w:cs="Times New Roman"/>
              </w:rPr>
              <w:t>październik</w:t>
            </w:r>
            <w:r w:rsidRPr="00C5168B">
              <w:rPr>
                <w:rFonts w:ascii="Times New Roman" w:hAnsi="Times New Roman" w:cs="Times New Roman"/>
              </w:rPr>
              <w:t xml:space="preserve"> 2017 r.</w:t>
            </w:r>
          </w:p>
        </w:tc>
      </w:tr>
      <w:tr w:rsidR="00AD3C4F" w:rsidRPr="004D6EED" w:rsidTr="0099246A">
        <w:trPr>
          <w:cantSplit/>
          <w:trHeight w:val="190"/>
        </w:trPr>
        <w:tc>
          <w:tcPr>
            <w:tcW w:w="1484" w:type="dxa"/>
            <w:shd w:val="clear" w:color="auto" w:fill="FFFFFF"/>
            <w:vAlign w:val="center"/>
          </w:tcPr>
          <w:p w:rsidR="00AD3C4F" w:rsidRPr="00C5168B" w:rsidRDefault="00AD3C4F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06/11/2017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AD3C4F" w:rsidRPr="00C5168B" w:rsidRDefault="00AD3C4F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Okresowy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AD3C4F" w:rsidRPr="00C5168B" w:rsidRDefault="00AD3C4F" w:rsidP="0099246A">
            <w:pPr>
              <w:spacing w:before="0"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19/2017</w:t>
            </w:r>
          </w:p>
        </w:tc>
        <w:tc>
          <w:tcPr>
            <w:tcW w:w="4570" w:type="dxa"/>
            <w:shd w:val="clear" w:color="auto" w:fill="FFFFFF"/>
            <w:vAlign w:val="center"/>
          </w:tcPr>
          <w:p w:rsidR="00AD3C4F" w:rsidRPr="00C5168B" w:rsidRDefault="00AD3C4F" w:rsidP="00464CD8">
            <w:pPr>
              <w:spacing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kwartalny Stopklatka S.A. za trzeci kwartał 2017 r.</w:t>
            </w:r>
            <w:bookmarkStart w:id="1" w:name="_GoBack"/>
            <w:bookmarkEnd w:id="1"/>
          </w:p>
        </w:tc>
      </w:tr>
      <w:bookmarkEnd w:id="0"/>
    </w:tbl>
    <w:p w:rsidR="00464CD8" w:rsidRPr="004D6EED" w:rsidRDefault="00464CD8" w:rsidP="00464CD8">
      <w:pPr>
        <w:pStyle w:val="Nagwek1"/>
        <w:spacing w:before="0" w:after="0"/>
        <w:ind w:left="0"/>
        <w:contextualSpacing/>
        <w:rPr>
          <w:rFonts w:ascii="Times New Roman" w:hAnsi="Times New Roman"/>
          <w:b w:val="0"/>
          <w:color w:val="auto"/>
          <w:szCs w:val="22"/>
        </w:rPr>
      </w:pPr>
    </w:p>
    <w:p w:rsidR="00464CD8" w:rsidRDefault="00464CD8" w:rsidP="009F3EDE">
      <w:pPr>
        <w:pStyle w:val="Nagwek1"/>
        <w:spacing w:after="0" w:line="240" w:lineRule="auto"/>
        <w:ind w:left="0"/>
        <w:contextualSpacing/>
        <w:rPr>
          <w:rFonts w:ascii="Times New Roman" w:hAnsi="Times New Roman"/>
          <w:color w:val="1F4E79" w:themeColor="accent1" w:themeShade="80"/>
          <w:szCs w:val="22"/>
        </w:rPr>
      </w:pPr>
    </w:p>
    <w:p w:rsidR="00464CD8" w:rsidRPr="00EC405D" w:rsidRDefault="00464CD8" w:rsidP="00464CD8">
      <w:pPr>
        <w:pStyle w:val="Nagwek1"/>
        <w:spacing w:after="0"/>
        <w:ind w:left="284" w:hanging="284"/>
        <w:contextualSpacing/>
        <w:rPr>
          <w:rFonts w:ascii="Times New Roman" w:hAnsi="Times New Roman"/>
          <w:color w:val="1F4E79" w:themeColor="accent1" w:themeShade="80"/>
          <w:szCs w:val="22"/>
        </w:rPr>
      </w:pPr>
      <w:r w:rsidRPr="00EC405D">
        <w:rPr>
          <w:rFonts w:ascii="Times New Roman" w:hAnsi="Times New Roman"/>
          <w:color w:val="1F4E79" w:themeColor="accent1" w:themeShade="80"/>
          <w:szCs w:val="22"/>
        </w:rPr>
        <w:t>3.</w:t>
      </w:r>
      <w:r w:rsidRPr="00EC405D">
        <w:rPr>
          <w:rFonts w:ascii="Times New Roman" w:hAnsi="Times New Roman"/>
          <w:color w:val="1F4E79" w:themeColor="accent1" w:themeShade="80"/>
          <w:szCs w:val="22"/>
        </w:rPr>
        <w:tab/>
        <w:t xml:space="preserve">Informacje na temat realizacji celów emisji, jeżeli taka realizacja choćby w części miała miejsce w okresie objętym raportem oraz informacje </w:t>
      </w:r>
      <w:r>
        <w:rPr>
          <w:rFonts w:ascii="Times New Roman" w:hAnsi="Times New Roman"/>
          <w:color w:val="1F4E79" w:themeColor="accent1" w:themeShade="80"/>
          <w:szCs w:val="22"/>
        </w:rPr>
        <w:t xml:space="preserve">na temat działalności Emitenta </w:t>
      </w:r>
      <w:r>
        <w:rPr>
          <w:rFonts w:ascii="Times New Roman" w:hAnsi="Times New Roman"/>
          <w:color w:val="1F4E79" w:themeColor="accent1" w:themeShade="80"/>
          <w:szCs w:val="22"/>
        </w:rPr>
        <w:br/>
      </w:r>
      <w:r w:rsidRPr="00EC405D">
        <w:rPr>
          <w:rFonts w:ascii="Times New Roman" w:hAnsi="Times New Roman"/>
          <w:color w:val="1F4E79" w:themeColor="accent1" w:themeShade="80"/>
          <w:szCs w:val="22"/>
        </w:rPr>
        <w:t>w</w:t>
      </w:r>
      <w:r w:rsidR="007B3908">
        <w:rPr>
          <w:rFonts w:ascii="Times New Roman" w:hAnsi="Times New Roman"/>
          <w:color w:val="1F4E79" w:themeColor="accent1" w:themeShade="80"/>
          <w:szCs w:val="22"/>
        </w:rPr>
        <w:t xml:space="preserve">  </w:t>
      </w:r>
      <w:r w:rsidRPr="00EC405D">
        <w:rPr>
          <w:rFonts w:ascii="Times New Roman" w:hAnsi="Times New Roman"/>
          <w:color w:val="1F4E79" w:themeColor="accent1" w:themeShade="80"/>
          <w:szCs w:val="22"/>
        </w:rPr>
        <w:t>2017 r.</w:t>
      </w:r>
    </w:p>
    <w:p w:rsidR="00464CD8" w:rsidRDefault="00464CD8" w:rsidP="00464CD8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p w:rsidR="00464CD8" w:rsidRPr="000C5DDD" w:rsidRDefault="00464CD8" w:rsidP="00464CD8">
      <w:pPr>
        <w:spacing w:before="0" w:after="0"/>
        <w:contextualSpacing/>
        <w:rPr>
          <w:rFonts w:ascii="Times New Roman" w:hAnsi="Times New Roman" w:cs="Times New Roman"/>
        </w:rPr>
      </w:pPr>
      <w:r w:rsidRPr="000C5DDD">
        <w:rPr>
          <w:rFonts w:ascii="Times New Roman" w:hAnsi="Times New Roman" w:cs="Times New Roman"/>
        </w:rPr>
        <w:t xml:space="preserve">Informacje odnośnie najważniejszych wydarzeń, mających miejsce </w:t>
      </w:r>
      <w:r>
        <w:rPr>
          <w:rFonts w:ascii="Times New Roman" w:hAnsi="Times New Roman" w:cs="Times New Roman"/>
        </w:rPr>
        <w:t xml:space="preserve">w </w:t>
      </w:r>
      <w:r w:rsidR="00C5168B">
        <w:rPr>
          <w:rFonts w:ascii="Times New Roman" w:hAnsi="Times New Roman" w:cs="Times New Roman"/>
        </w:rPr>
        <w:t>listopadzie</w:t>
      </w:r>
      <w:r>
        <w:rPr>
          <w:rFonts w:ascii="Times New Roman" w:hAnsi="Times New Roman" w:cs="Times New Roman"/>
        </w:rPr>
        <w:t xml:space="preserve"> 2017 r. zostały przedstawione w pkt</w:t>
      </w:r>
      <w:r w:rsidRPr="000C5DDD">
        <w:rPr>
          <w:rFonts w:ascii="Times New Roman" w:hAnsi="Times New Roman" w:cs="Times New Roman"/>
        </w:rPr>
        <w:t xml:space="preserve"> 1 niniejszego raportu.</w:t>
      </w:r>
    </w:p>
    <w:p w:rsidR="00464CD8" w:rsidRDefault="00464CD8" w:rsidP="00464CD8">
      <w:pPr>
        <w:pStyle w:val="NormalnyWeb"/>
        <w:spacing w:before="0" w:beforeAutospacing="0" w:after="0" w:afterAutospacing="0" w:line="276" w:lineRule="auto"/>
        <w:jc w:val="both"/>
        <w:rPr>
          <w:color w:val="1F4E79" w:themeColor="accent1" w:themeShade="80"/>
          <w:szCs w:val="22"/>
        </w:rPr>
      </w:pPr>
    </w:p>
    <w:p w:rsidR="00464CD8" w:rsidRPr="00817BE7" w:rsidRDefault="00464CD8" w:rsidP="00464CD8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b/>
          <w:color w:val="1F4E79" w:themeColor="accent1" w:themeShade="80"/>
          <w:sz w:val="22"/>
          <w:szCs w:val="22"/>
        </w:rPr>
      </w:pPr>
      <w:r w:rsidRPr="00EC405D">
        <w:rPr>
          <w:b/>
          <w:color w:val="1F4E79" w:themeColor="accent1" w:themeShade="80"/>
          <w:sz w:val="22"/>
          <w:szCs w:val="22"/>
        </w:rPr>
        <w:t xml:space="preserve">4.   Kalendarz inwestora, obejmujący wydarzenia mające mieć miejsce w nadchodzącym miesiącu, które dotyczą Emitenta i są istotne z punktu widzenia interesów inwestorów, </w:t>
      </w:r>
      <w:r w:rsidRPr="00EC405D">
        <w:rPr>
          <w:b/>
          <w:color w:val="1F4E79" w:themeColor="accent1" w:themeShade="80"/>
          <w:sz w:val="22"/>
          <w:szCs w:val="22"/>
        </w:rPr>
        <w:br/>
        <w:t>w szczególności daty publikacji raportów okresowych, planowanych walnych zgromadzeń, otwarcia subskrypcji, spotkań z inwestorami lub analitykami oraz oczekiwany termin publikacji raportu analitycznego.</w:t>
      </w:r>
    </w:p>
    <w:p w:rsidR="00464CD8" w:rsidRDefault="00464CD8" w:rsidP="00464CD8">
      <w:pPr>
        <w:spacing w:before="0"/>
        <w:contextualSpacing/>
        <w:rPr>
          <w:rFonts w:ascii="Times New Roman" w:hAnsi="Times New Roman" w:cs="Times New Roman"/>
        </w:rPr>
      </w:pPr>
    </w:p>
    <w:p w:rsidR="00464CD8" w:rsidRDefault="00464CD8" w:rsidP="00464CD8">
      <w:pPr>
        <w:spacing w:before="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6E1E57">
        <w:rPr>
          <w:rFonts w:ascii="Times New Roman" w:hAnsi="Times New Roman" w:cs="Times New Roman"/>
        </w:rPr>
        <w:t>związku z punktem 16 Załącznika do Uchwały Nr 293/2010 Zarządu Giełdy Papierów Wartościowych w Warszawie S.A. z dnia 31 marca 2</w:t>
      </w:r>
      <w:r>
        <w:rPr>
          <w:rFonts w:ascii="Times New Roman" w:hAnsi="Times New Roman" w:cs="Times New Roman"/>
        </w:rPr>
        <w:t xml:space="preserve">010 r. "Dobre Praktyki Spółek </w:t>
      </w:r>
      <w:r>
        <w:rPr>
          <w:rFonts w:ascii="Times New Roman" w:hAnsi="Times New Roman" w:cs="Times New Roman"/>
        </w:rPr>
        <w:br/>
        <w:t>N</w:t>
      </w:r>
      <w:r w:rsidRPr="006E1E57">
        <w:rPr>
          <w:rFonts w:ascii="Times New Roman" w:hAnsi="Times New Roman" w:cs="Times New Roman"/>
        </w:rPr>
        <w:t xml:space="preserve">otowanych na </w:t>
      </w:r>
      <w:proofErr w:type="spellStart"/>
      <w:r w:rsidRPr="006E1E57">
        <w:rPr>
          <w:rFonts w:ascii="Times New Roman" w:hAnsi="Times New Roman" w:cs="Times New Roman"/>
        </w:rPr>
        <w:t>NewConnect</w:t>
      </w:r>
      <w:proofErr w:type="spellEnd"/>
      <w:r w:rsidRPr="006E1E57">
        <w:rPr>
          <w:rFonts w:ascii="Times New Roman" w:hAnsi="Times New Roman" w:cs="Times New Roman"/>
        </w:rPr>
        <w:t xml:space="preserve">” do dnia 14 </w:t>
      </w:r>
      <w:r w:rsidR="00C5168B">
        <w:rPr>
          <w:rFonts w:ascii="Times New Roman" w:hAnsi="Times New Roman" w:cs="Times New Roman"/>
        </w:rPr>
        <w:t>stycznia</w:t>
      </w:r>
      <w:r w:rsidRPr="006E1E57">
        <w:rPr>
          <w:rFonts w:ascii="Times New Roman" w:hAnsi="Times New Roman" w:cs="Times New Roman"/>
        </w:rPr>
        <w:t xml:space="preserve"> 201</w:t>
      </w:r>
      <w:r w:rsidR="00C5168B">
        <w:rPr>
          <w:rFonts w:ascii="Times New Roman" w:hAnsi="Times New Roman" w:cs="Times New Roman"/>
        </w:rPr>
        <w:t>8</w:t>
      </w:r>
      <w:r w:rsidRPr="006E1E57">
        <w:rPr>
          <w:rFonts w:ascii="Times New Roman" w:hAnsi="Times New Roman" w:cs="Times New Roman"/>
        </w:rPr>
        <w:t xml:space="preserve"> r. Emitent przekaże raport miesięczny </w:t>
      </w:r>
      <w:r w:rsidRPr="006E1E57">
        <w:rPr>
          <w:rFonts w:ascii="Times New Roman" w:hAnsi="Times New Roman" w:cs="Times New Roman"/>
        </w:rPr>
        <w:br/>
        <w:t xml:space="preserve">za </w:t>
      </w:r>
      <w:r w:rsidR="00C5168B">
        <w:rPr>
          <w:rFonts w:ascii="Times New Roman" w:hAnsi="Times New Roman" w:cs="Times New Roman"/>
        </w:rPr>
        <w:t>grudzień</w:t>
      </w:r>
      <w:r>
        <w:rPr>
          <w:rFonts w:ascii="Times New Roman" w:hAnsi="Times New Roman" w:cs="Times New Roman"/>
        </w:rPr>
        <w:t xml:space="preserve"> 2017</w:t>
      </w:r>
      <w:r w:rsidRPr="006E1E57">
        <w:rPr>
          <w:rFonts w:ascii="Times New Roman" w:hAnsi="Times New Roman" w:cs="Times New Roman"/>
        </w:rPr>
        <w:t xml:space="preserve"> r.</w:t>
      </w:r>
    </w:p>
    <w:p w:rsidR="00464CD8" w:rsidRDefault="00464CD8" w:rsidP="00464CD8">
      <w:pPr>
        <w:spacing w:before="0" w:after="0" w:line="240" w:lineRule="auto"/>
        <w:contextualSpacing/>
        <w:rPr>
          <w:rFonts w:ascii="Times New Roman" w:hAnsi="Times New Roman" w:cs="Times New Roman"/>
          <w:b/>
          <w:bCs/>
          <w:color w:val="1E3765"/>
        </w:rPr>
      </w:pPr>
    </w:p>
    <w:p w:rsidR="00464CD8" w:rsidRDefault="00464CD8" w:rsidP="00464CD8">
      <w:pPr>
        <w:spacing w:before="0" w:after="0" w:line="240" w:lineRule="auto"/>
        <w:contextualSpacing/>
        <w:rPr>
          <w:rFonts w:ascii="Times New Roman" w:hAnsi="Times New Roman" w:cs="Times New Roman"/>
          <w:b/>
          <w:bCs/>
          <w:color w:val="1E3765"/>
        </w:rPr>
      </w:pPr>
    </w:p>
    <w:p w:rsidR="00464CD8" w:rsidRPr="00EC405D" w:rsidRDefault="00464CD8" w:rsidP="00464CD8">
      <w:pPr>
        <w:spacing w:before="0" w:after="0"/>
        <w:contextualSpacing/>
        <w:rPr>
          <w:rFonts w:ascii="Times New Roman" w:hAnsi="Times New Roman" w:cs="Times New Roman"/>
          <w:b/>
          <w:bCs/>
          <w:color w:val="1F4E79" w:themeColor="accent1" w:themeShade="80"/>
        </w:rPr>
      </w:pPr>
      <w:r w:rsidRPr="00EC405D">
        <w:rPr>
          <w:rFonts w:ascii="Times New Roman" w:hAnsi="Times New Roman" w:cs="Times New Roman"/>
          <w:b/>
          <w:bCs/>
          <w:color w:val="1F4E79" w:themeColor="accent1" w:themeShade="80"/>
        </w:rPr>
        <w:t xml:space="preserve">Podstawa prawna: </w:t>
      </w:r>
    </w:p>
    <w:p w:rsidR="00464CD8" w:rsidRPr="006E1E57" w:rsidRDefault="00464CD8" w:rsidP="00464CD8">
      <w:pPr>
        <w:spacing w:before="0" w:after="0"/>
        <w:contextualSpacing/>
        <w:rPr>
          <w:rFonts w:ascii="Times New Roman" w:hAnsi="Times New Roman" w:cs="Times New Roman"/>
          <w:b/>
          <w:bCs/>
          <w:color w:val="1E3765"/>
        </w:rPr>
      </w:pPr>
    </w:p>
    <w:p w:rsidR="00464CD8" w:rsidRPr="00092EB7" w:rsidRDefault="00464CD8" w:rsidP="00464CD8">
      <w:pPr>
        <w:pStyle w:val="Akapitzlist"/>
        <w:spacing w:before="0" w:after="0"/>
        <w:ind w:left="0"/>
        <w:contextualSpacing/>
        <w:rPr>
          <w:rFonts w:ascii="Times New Roman" w:hAnsi="Times New Roman" w:cs="Times New Roman"/>
        </w:rPr>
      </w:pPr>
      <w:r w:rsidRPr="006E1E57">
        <w:rPr>
          <w:rFonts w:ascii="Times New Roman" w:hAnsi="Times New Roman" w:cs="Times New Roman"/>
        </w:rPr>
        <w:t xml:space="preserve">Punkt 16 Załącznika do Uchwały Nr 293/2010 Zarządu Giełdy Papierów Wartościowych </w:t>
      </w:r>
      <w:r w:rsidRPr="006E1E57">
        <w:rPr>
          <w:rFonts w:ascii="Times New Roman" w:hAnsi="Times New Roman" w:cs="Times New Roman"/>
        </w:rPr>
        <w:br/>
        <w:t xml:space="preserve">w Warszawie S.A. z dnia 31 marca </w:t>
      </w:r>
      <w:r>
        <w:rPr>
          <w:rFonts w:ascii="Times New Roman" w:hAnsi="Times New Roman" w:cs="Times New Roman"/>
        </w:rPr>
        <w:t>2010 r. "Dobre Praktyki Spółek N</w:t>
      </w:r>
      <w:r w:rsidRPr="006E1E57">
        <w:rPr>
          <w:rFonts w:ascii="Times New Roman" w:hAnsi="Times New Roman" w:cs="Times New Roman"/>
        </w:rPr>
        <w:t xml:space="preserve">otowanych na </w:t>
      </w:r>
      <w:proofErr w:type="spellStart"/>
      <w:r w:rsidRPr="006E1E57">
        <w:rPr>
          <w:rFonts w:ascii="Times New Roman" w:hAnsi="Times New Roman" w:cs="Times New Roman"/>
        </w:rPr>
        <w:t>NewConnect</w:t>
      </w:r>
      <w:proofErr w:type="spellEnd"/>
      <w:r w:rsidRPr="006E1E57">
        <w:rPr>
          <w:rFonts w:ascii="Times New Roman" w:hAnsi="Times New Roman" w:cs="Times New Roman"/>
        </w:rPr>
        <w:t>”.</w:t>
      </w:r>
    </w:p>
    <w:p w:rsidR="00464CD8" w:rsidRPr="00EC405D" w:rsidRDefault="00464CD8" w:rsidP="00464CD8">
      <w:pPr>
        <w:pStyle w:val="Nagwek1"/>
        <w:spacing w:after="0"/>
        <w:ind w:left="0"/>
        <w:contextualSpacing/>
        <w:rPr>
          <w:rFonts w:ascii="Times New Roman" w:hAnsi="Times New Roman"/>
          <w:color w:val="1F4E79" w:themeColor="accent1" w:themeShade="80"/>
          <w:szCs w:val="22"/>
        </w:rPr>
      </w:pPr>
      <w:r w:rsidRPr="00EC405D">
        <w:rPr>
          <w:rFonts w:ascii="Times New Roman" w:hAnsi="Times New Roman"/>
          <w:color w:val="1F4E79" w:themeColor="accent1" w:themeShade="80"/>
          <w:szCs w:val="22"/>
        </w:rPr>
        <w:t>Osoby reprezentujące Spółkę:</w:t>
      </w:r>
    </w:p>
    <w:p w:rsidR="00464CD8" w:rsidRPr="006E1E57" w:rsidRDefault="00464CD8" w:rsidP="00464CD8">
      <w:pPr>
        <w:pStyle w:val="Nagwek1"/>
        <w:spacing w:before="0" w:after="0"/>
        <w:ind w:left="0"/>
        <w:contextualSpacing/>
        <w:rPr>
          <w:rFonts w:ascii="Times New Roman" w:hAnsi="Times New Roman"/>
          <w:szCs w:val="22"/>
        </w:rPr>
      </w:pPr>
    </w:p>
    <w:p w:rsidR="00464CD8" w:rsidRPr="006E1E57" w:rsidRDefault="00464CD8" w:rsidP="00464CD8">
      <w:pPr>
        <w:pStyle w:val="Nagwek1"/>
        <w:spacing w:before="0" w:after="0"/>
        <w:ind w:left="0"/>
        <w:contextualSpacing/>
        <w:jc w:val="left"/>
        <w:rPr>
          <w:rFonts w:ascii="Times New Roman" w:hAnsi="Times New Roman"/>
          <w:szCs w:val="22"/>
        </w:rPr>
      </w:pPr>
      <w:r w:rsidRPr="006E1E57">
        <w:rPr>
          <w:rFonts w:ascii="Times New Roman" w:hAnsi="Times New Roman"/>
          <w:b w:val="0"/>
          <w:color w:val="00000A"/>
          <w:szCs w:val="22"/>
        </w:rPr>
        <w:t>Bogusław Kisielewski – Prezes Zarządu</w:t>
      </w:r>
      <w:r w:rsidRPr="006E1E57">
        <w:rPr>
          <w:rFonts w:ascii="Times New Roman" w:hAnsi="Times New Roman"/>
          <w:b w:val="0"/>
          <w:color w:val="00000A"/>
          <w:szCs w:val="22"/>
        </w:rPr>
        <w:br/>
        <w:t>Agnieszka Sadowska – Członek Zarząd</w:t>
      </w:r>
      <w:r>
        <w:rPr>
          <w:rFonts w:ascii="Times New Roman" w:hAnsi="Times New Roman"/>
          <w:b w:val="0"/>
          <w:color w:val="00000A"/>
          <w:szCs w:val="22"/>
        </w:rPr>
        <w:t>u</w:t>
      </w:r>
    </w:p>
    <w:p w:rsidR="00464CD8" w:rsidRDefault="00464CD8" w:rsidP="00464CD8"/>
    <w:sectPr w:rsidR="00464CD8" w:rsidSect="00CD741F">
      <w:headerReference w:type="default" r:id="rId11"/>
      <w:footerReference w:type="default" r:id="rId12"/>
      <w:pgSz w:w="11906" w:h="16838"/>
      <w:pgMar w:top="766" w:right="1418" w:bottom="1276" w:left="1418" w:header="709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27" w:rsidRDefault="00C71927" w:rsidP="00464CD8">
      <w:pPr>
        <w:spacing w:before="0" w:after="0" w:line="240" w:lineRule="auto"/>
      </w:pPr>
      <w:r>
        <w:separator/>
      </w:r>
    </w:p>
  </w:endnote>
  <w:endnote w:type="continuationSeparator" w:id="0">
    <w:p w:rsidR="00C71927" w:rsidRDefault="00C71927" w:rsidP="00464C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47850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C6085" w:rsidRPr="00092EB7" w:rsidRDefault="00886765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092EB7">
          <w:rPr>
            <w:rFonts w:ascii="Times New Roman" w:hAnsi="Times New Roman"/>
            <w:sz w:val="16"/>
            <w:szCs w:val="16"/>
          </w:rPr>
          <w:fldChar w:fldCharType="begin"/>
        </w:r>
        <w:r w:rsidRPr="00092EB7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092EB7">
          <w:rPr>
            <w:rFonts w:ascii="Times New Roman" w:hAnsi="Times New Roman"/>
            <w:sz w:val="16"/>
            <w:szCs w:val="16"/>
          </w:rPr>
          <w:fldChar w:fldCharType="separate"/>
        </w:r>
        <w:r w:rsidR="00AD3C4F">
          <w:rPr>
            <w:rFonts w:ascii="Times New Roman" w:hAnsi="Times New Roman"/>
            <w:noProof/>
            <w:sz w:val="16"/>
            <w:szCs w:val="16"/>
          </w:rPr>
          <w:t>2</w:t>
        </w:r>
        <w:r w:rsidRPr="00092EB7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9C6085" w:rsidRPr="00001C9D" w:rsidRDefault="00C71927" w:rsidP="009C6085">
    <w:pPr>
      <w:pStyle w:val="Stopka"/>
      <w:tabs>
        <w:tab w:val="left" w:pos="4290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27" w:rsidRDefault="00C71927" w:rsidP="00464CD8">
      <w:pPr>
        <w:spacing w:before="0" w:after="0" w:line="240" w:lineRule="auto"/>
      </w:pPr>
      <w:r>
        <w:separator/>
      </w:r>
    </w:p>
  </w:footnote>
  <w:footnote w:type="continuationSeparator" w:id="0">
    <w:p w:rsidR="00C71927" w:rsidRDefault="00C71927" w:rsidP="00464CD8">
      <w:pPr>
        <w:spacing w:before="0" w:after="0" w:line="240" w:lineRule="auto"/>
      </w:pPr>
      <w:r>
        <w:continuationSeparator/>
      </w:r>
    </w:p>
  </w:footnote>
  <w:footnote w:id="1">
    <w:p w:rsidR="00464CD8" w:rsidRPr="00337011" w:rsidRDefault="00464CD8" w:rsidP="00464CD8">
      <w:pPr>
        <w:pStyle w:val="Tekstprzypisudolnego"/>
        <w:rPr>
          <w:rFonts w:ascii="Times New Roman" w:hAnsi="Times New Roman" w:cs="Times New Roman"/>
        </w:rPr>
      </w:pPr>
      <w:r w:rsidRPr="00337011">
        <w:rPr>
          <w:rStyle w:val="Odwoanieprzypisudolnego"/>
          <w:rFonts w:ascii="Times New Roman" w:hAnsi="Times New Roman" w:cs="Times New Roman"/>
          <w:sz w:val="16"/>
        </w:rPr>
        <w:footnoteRef/>
      </w:r>
      <w:r w:rsidRPr="00337011">
        <w:rPr>
          <w:rFonts w:ascii="Times New Roman" w:hAnsi="Times New Roman" w:cs="Times New Roman"/>
          <w:sz w:val="16"/>
        </w:rPr>
        <w:t xml:space="preserve"> Źródło: </w:t>
      </w:r>
      <w:r w:rsidRPr="00B3074E">
        <w:rPr>
          <w:rFonts w:ascii="Times New Roman" w:hAnsi="Times New Roman" w:cs="Times New Roman"/>
          <w:sz w:val="16"/>
        </w:rPr>
        <w:t xml:space="preserve">Nielsen </w:t>
      </w:r>
      <w:proofErr w:type="spellStart"/>
      <w:r w:rsidRPr="00B3074E">
        <w:rPr>
          <w:rFonts w:ascii="Times New Roman" w:hAnsi="Times New Roman" w:cs="Times New Roman"/>
          <w:sz w:val="16"/>
        </w:rPr>
        <w:t>Audience</w:t>
      </w:r>
      <w:proofErr w:type="spellEnd"/>
      <w:r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3074E">
        <w:rPr>
          <w:rFonts w:ascii="Times New Roman" w:hAnsi="Times New Roman" w:cs="Times New Roman"/>
          <w:sz w:val="16"/>
        </w:rPr>
        <w:t>Measurement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 w:firstRow="0" w:lastRow="0" w:firstColumn="0" w:lastColumn="0" w:noHBand="0" w:noVBand="0"/>
    </w:tblPr>
    <w:tblGrid>
      <w:gridCol w:w="4534"/>
      <w:gridCol w:w="4534"/>
    </w:tblGrid>
    <w:tr w:rsidR="009C6085" w:rsidRPr="001F3415">
      <w:trPr>
        <w:cantSplit/>
      </w:trPr>
      <w:tc>
        <w:tcPr>
          <w:tcW w:w="4534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</w:tcPr>
        <w:p w:rsidR="009C6085" w:rsidRPr="001F3415" w:rsidRDefault="00886765">
          <w:pPr>
            <w:pStyle w:val="Gwka"/>
            <w:rPr>
              <w:rFonts w:ascii="Times New Roman" w:hAnsi="Times New Roman"/>
              <w:b/>
              <w:sz w:val="16"/>
            </w:rPr>
          </w:pPr>
          <w:r w:rsidRPr="001F3415">
            <w:rPr>
              <w:rFonts w:ascii="Times New Roman" w:hAnsi="Times New Roman"/>
              <w:b/>
              <w:sz w:val="16"/>
            </w:rPr>
            <w:t>STOPKLATKA SPÓŁKA AKCYJNA</w:t>
          </w:r>
        </w:p>
      </w:tc>
      <w:tc>
        <w:tcPr>
          <w:tcW w:w="4534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/>
        </w:tcPr>
        <w:p w:rsidR="009C6085" w:rsidRPr="001F3415" w:rsidRDefault="00886765" w:rsidP="00464CD8">
          <w:pPr>
            <w:pStyle w:val="Gwka"/>
            <w:jc w:val="right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 xml:space="preserve">RAPORT MIESIĘCZNY ZA </w:t>
          </w:r>
          <w:r w:rsidR="00C5168B">
            <w:rPr>
              <w:rFonts w:ascii="Times New Roman" w:hAnsi="Times New Roman"/>
              <w:b/>
              <w:sz w:val="16"/>
            </w:rPr>
            <w:t>LISTOPAD</w:t>
          </w:r>
          <w:r w:rsidR="00464CD8">
            <w:rPr>
              <w:rFonts w:ascii="Times New Roman" w:hAnsi="Times New Roman"/>
              <w:b/>
              <w:sz w:val="16"/>
            </w:rPr>
            <w:t xml:space="preserve"> </w:t>
          </w:r>
          <w:r>
            <w:rPr>
              <w:rFonts w:ascii="Times New Roman" w:hAnsi="Times New Roman"/>
              <w:b/>
              <w:sz w:val="16"/>
            </w:rPr>
            <w:t>2017</w:t>
          </w:r>
          <w:r w:rsidRPr="001F3415">
            <w:rPr>
              <w:rFonts w:ascii="Times New Roman" w:hAnsi="Times New Roman"/>
              <w:b/>
              <w:sz w:val="16"/>
            </w:rPr>
            <w:t xml:space="preserve"> R.</w:t>
          </w:r>
        </w:p>
      </w:tc>
    </w:tr>
  </w:tbl>
  <w:p w:rsidR="009C6085" w:rsidRDefault="00C7192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C395A"/>
    <w:multiLevelType w:val="hybridMultilevel"/>
    <w:tmpl w:val="CF5E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25DF5"/>
    <w:multiLevelType w:val="hybridMultilevel"/>
    <w:tmpl w:val="A89E6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wC_ExcelHistory" w:val=" "/>
  </w:docVars>
  <w:rsids>
    <w:rsidRoot w:val="00464CD8"/>
    <w:rsid w:val="0000062B"/>
    <w:rsid w:val="000261D2"/>
    <w:rsid w:val="00060C61"/>
    <w:rsid w:val="00063DE9"/>
    <w:rsid w:val="00080D2D"/>
    <w:rsid w:val="000A5285"/>
    <w:rsid w:val="000B3E13"/>
    <w:rsid w:val="000B7758"/>
    <w:rsid w:val="000C0C35"/>
    <w:rsid w:val="000C7077"/>
    <w:rsid w:val="000D3C00"/>
    <w:rsid w:val="000D53E5"/>
    <w:rsid w:val="000F6251"/>
    <w:rsid w:val="001015F9"/>
    <w:rsid w:val="00120B6C"/>
    <w:rsid w:val="001403BA"/>
    <w:rsid w:val="001B6C84"/>
    <w:rsid w:val="001B76ED"/>
    <w:rsid w:val="001C5592"/>
    <w:rsid w:val="001C66B9"/>
    <w:rsid w:val="001D6787"/>
    <w:rsid w:val="001E0314"/>
    <w:rsid w:val="002211A7"/>
    <w:rsid w:val="00223513"/>
    <w:rsid w:val="00232DB7"/>
    <w:rsid w:val="002340D1"/>
    <w:rsid w:val="00261A57"/>
    <w:rsid w:val="00267140"/>
    <w:rsid w:val="00277036"/>
    <w:rsid w:val="002A792D"/>
    <w:rsid w:val="002B6B76"/>
    <w:rsid w:val="002E20E9"/>
    <w:rsid w:val="00304976"/>
    <w:rsid w:val="0033650E"/>
    <w:rsid w:val="0036056C"/>
    <w:rsid w:val="003B2122"/>
    <w:rsid w:val="003B280E"/>
    <w:rsid w:val="003B67B7"/>
    <w:rsid w:val="003C0294"/>
    <w:rsid w:val="003C79B0"/>
    <w:rsid w:val="003E0568"/>
    <w:rsid w:val="00414C49"/>
    <w:rsid w:val="00447A60"/>
    <w:rsid w:val="00460B28"/>
    <w:rsid w:val="004633A6"/>
    <w:rsid w:val="00464CD8"/>
    <w:rsid w:val="004667B1"/>
    <w:rsid w:val="00467AD0"/>
    <w:rsid w:val="004C4189"/>
    <w:rsid w:val="004D4AAB"/>
    <w:rsid w:val="004D536E"/>
    <w:rsid w:val="004D6EED"/>
    <w:rsid w:val="004E7D4B"/>
    <w:rsid w:val="005016D8"/>
    <w:rsid w:val="0050299D"/>
    <w:rsid w:val="00515BDB"/>
    <w:rsid w:val="00517720"/>
    <w:rsid w:val="00525CAE"/>
    <w:rsid w:val="0058374F"/>
    <w:rsid w:val="00587C7D"/>
    <w:rsid w:val="005A18A5"/>
    <w:rsid w:val="005A2074"/>
    <w:rsid w:val="005A51E0"/>
    <w:rsid w:val="005B409B"/>
    <w:rsid w:val="005C6057"/>
    <w:rsid w:val="005C7219"/>
    <w:rsid w:val="005C785D"/>
    <w:rsid w:val="005F1F00"/>
    <w:rsid w:val="00607156"/>
    <w:rsid w:val="00610CE3"/>
    <w:rsid w:val="006307FB"/>
    <w:rsid w:val="00633C0D"/>
    <w:rsid w:val="00635710"/>
    <w:rsid w:val="0063776A"/>
    <w:rsid w:val="00641976"/>
    <w:rsid w:val="00654518"/>
    <w:rsid w:val="0067063E"/>
    <w:rsid w:val="006B2B9A"/>
    <w:rsid w:val="006B707D"/>
    <w:rsid w:val="006D5C01"/>
    <w:rsid w:val="006E2CC2"/>
    <w:rsid w:val="00700B5D"/>
    <w:rsid w:val="00700EAF"/>
    <w:rsid w:val="00716B7A"/>
    <w:rsid w:val="007416A3"/>
    <w:rsid w:val="00743C38"/>
    <w:rsid w:val="00777DA1"/>
    <w:rsid w:val="007A29DE"/>
    <w:rsid w:val="007A608A"/>
    <w:rsid w:val="007B3908"/>
    <w:rsid w:val="007C188F"/>
    <w:rsid w:val="007E0145"/>
    <w:rsid w:val="007F7C4C"/>
    <w:rsid w:val="008035D8"/>
    <w:rsid w:val="00834C5A"/>
    <w:rsid w:val="0084101F"/>
    <w:rsid w:val="0084337B"/>
    <w:rsid w:val="008458F4"/>
    <w:rsid w:val="008678C7"/>
    <w:rsid w:val="008817D7"/>
    <w:rsid w:val="00886765"/>
    <w:rsid w:val="00890F13"/>
    <w:rsid w:val="008A040A"/>
    <w:rsid w:val="008A36C9"/>
    <w:rsid w:val="008A6D2D"/>
    <w:rsid w:val="008E3227"/>
    <w:rsid w:val="008E391C"/>
    <w:rsid w:val="008F2C57"/>
    <w:rsid w:val="008F3A3A"/>
    <w:rsid w:val="008F6A62"/>
    <w:rsid w:val="00912054"/>
    <w:rsid w:val="009171A8"/>
    <w:rsid w:val="009267F0"/>
    <w:rsid w:val="009324E0"/>
    <w:rsid w:val="009373E9"/>
    <w:rsid w:val="009523D5"/>
    <w:rsid w:val="009651ED"/>
    <w:rsid w:val="009744E1"/>
    <w:rsid w:val="0097538C"/>
    <w:rsid w:val="009767C6"/>
    <w:rsid w:val="00985C85"/>
    <w:rsid w:val="009B7FB6"/>
    <w:rsid w:val="009C015E"/>
    <w:rsid w:val="009F3EDE"/>
    <w:rsid w:val="009F674C"/>
    <w:rsid w:val="00A0031D"/>
    <w:rsid w:val="00A00F1D"/>
    <w:rsid w:val="00A25A11"/>
    <w:rsid w:val="00A44C21"/>
    <w:rsid w:val="00A47920"/>
    <w:rsid w:val="00A638D2"/>
    <w:rsid w:val="00A755C9"/>
    <w:rsid w:val="00A76CF2"/>
    <w:rsid w:val="00AB1F27"/>
    <w:rsid w:val="00AC7285"/>
    <w:rsid w:val="00AD3C4F"/>
    <w:rsid w:val="00AE05F5"/>
    <w:rsid w:val="00AE4E69"/>
    <w:rsid w:val="00B01095"/>
    <w:rsid w:val="00B259E3"/>
    <w:rsid w:val="00B31141"/>
    <w:rsid w:val="00B40A5C"/>
    <w:rsid w:val="00B4120B"/>
    <w:rsid w:val="00B45DB0"/>
    <w:rsid w:val="00B573B6"/>
    <w:rsid w:val="00B6367F"/>
    <w:rsid w:val="00B82D4C"/>
    <w:rsid w:val="00B95107"/>
    <w:rsid w:val="00BA0B3C"/>
    <w:rsid w:val="00BA3B2B"/>
    <w:rsid w:val="00BB7D38"/>
    <w:rsid w:val="00BC1BBA"/>
    <w:rsid w:val="00BC733B"/>
    <w:rsid w:val="00BE36A2"/>
    <w:rsid w:val="00C30D56"/>
    <w:rsid w:val="00C31DB7"/>
    <w:rsid w:val="00C511D5"/>
    <w:rsid w:val="00C5168B"/>
    <w:rsid w:val="00C71927"/>
    <w:rsid w:val="00C75641"/>
    <w:rsid w:val="00C76B1C"/>
    <w:rsid w:val="00C90FE4"/>
    <w:rsid w:val="00CA5E04"/>
    <w:rsid w:val="00CA6047"/>
    <w:rsid w:val="00CB0395"/>
    <w:rsid w:val="00CC2A7B"/>
    <w:rsid w:val="00CC7D2E"/>
    <w:rsid w:val="00CF11F6"/>
    <w:rsid w:val="00D13AF7"/>
    <w:rsid w:val="00D237D2"/>
    <w:rsid w:val="00D656E4"/>
    <w:rsid w:val="00D7670D"/>
    <w:rsid w:val="00D76A74"/>
    <w:rsid w:val="00D8759E"/>
    <w:rsid w:val="00D91CF3"/>
    <w:rsid w:val="00D92BB0"/>
    <w:rsid w:val="00DA2AD5"/>
    <w:rsid w:val="00DC2341"/>
    <w:rsid w:val="00DD072C"/>
    <w:rsid w:val="00DD1529"/>
    <w:rsid w:val="00DD60F9"/>
    <w:rsid w:val="00DE4D31"/>
    <w:rsid w:val="00DE6F32"/>
    <w:rsid w:val="00DE74C2"/>
    <w:rsid w:val="00E06237"/>
    <w:rsid w:val="00E357D7"/>
    <w:rsid w:val="00E43D4D"/>
    <w:rsid w:val="00E54B54"/>
    <w:rsid w:val="00E66F17"/>
    <w:rsid w:val="00E94029"/>
    <w:rsid w:val="00EB19D8"/>
    <w:rsid w:val="00EB1BD7"/>
    <w:rsid w:val="00EC0056"/>
    <w:rsid w:val="00EC5643"/>
    <w:rsid w:val="00ED5B7B"/>
    <w:rsid w:val="00ED75BD"/>
    <w:rsid w:val="00EF093D"/>
    <w:rsid w:val="00EF0D0E"/>
    <w:rsid w:val="00F237A3"/>
    <w:rsid w:val="00F37B43"/>
    <w:rsid w:val="00F50DCD"/>
    <w:rsid w:val="00F512A3"/>
    <w:rsid w:val="00F553C6"/>
    <w:rsid w:val="00F57774"/>
    <w:rsid w:val="00F77663"/>
    <w:rsid w:val="00F82E6C"/>
    <w:rsid w:val="00FA6A66"/>
    <w:rsid w:val="00FC1D11"/>
    <w:rsid w:val="00FD3BE7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B459"/>
  <w15:chartTrackingRefBased/>
  <w15:docId w15:val="{EE680A94-C9FC-4C24-BD0A-73DA6A68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64CD8"/>
    <w:pPr>
      <w:suppressAutoHyphens/>
      <w:spacing w:before="120" w:after="120" w:line="276" w:lineRule="auto"/>
      <w:jc w:val="both"/>
    </w:pPr>
    <w:rPr>
      <w:rFonts w:ascii="Calibri" w:eastAsia="Times New Roman" w:hAnsi="Calibri" w:cs="Calibri"/>
      <w:color w:val="00000A"/>
      <w:lang w:eastAsia="pl-PL"/>
    </w:rPr>
  </w:style>
  <w:style w:type="paragraph" w:styleId="Nagwek1">
    <w:name w:val="heading 1"/>
    <w:basedOn w:val="Normalny"/>
    <w:link w:val="Nagwek1Znak"/>
    <w:rsid w:val="00464CD8"/>
    <w:pPr>
      <w:keepNext/>
      <w:spacing w:before="240"/>
      <w:ind w:left="-284"/>
      <w:outlineLvl w:val="0"/>
    </w:pPr>
    <w:rPr>
      <w:rFonts w:cs="Times New Roman"/>
      <w:b/>
      <w:bCs/>
      <w:color w:val="1E3765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CD8"/>
    <w:rPr>
      <w:rFonts w:ascii="Calibri" w:eastAsia="Times New Roman" w:hAnsi="Calibri" w:cs="Times New Roman"/>
      <w:b/>
      <w:bCs/>
      <w:color w:val="1E3765"/>
      <w:szCs w:val="28"/>
      <w:lang w:eastAsia="pl-PL"/>
    </w:rPr>
  </w:style>
  <w:style w:type="paragraph" w:styleId="Tytu">
    <w:name w:val="Title"/>
    <w:basedOn w:val="Normalny"/>
    <w:link w:val="TytuZnak"/>
    <w:rsid w:val="00464CD8"/>
    <w:pPr>
      <w:spacing w:after="300"/>
      <w:jc w:val="center"/>
    </w:pPr>
    <w:rPr>
      <w:rFonts w:cs="Times New Roman"/>
      <w:b/>
      <w:caps/>
      <w:color w:val="1E3765"/>
      <w:spacing w:val="5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64CD8"/>
    <w:rPr>
      <w:rFonts w:ascii="Calibri" w:eastAsia="Times New Roman" w:hAnsi="Calibri" w:cs="Times New Roman"/>
      <w:b/>
      <w:caps/>
      <w:color w:val="1E3765"/>
      <w:spacing w:val="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64CD8"/>
    <w:pPr>
      <w:ind w:left="720"/>
    </w:pPr>
  </w:style>
  <w:style w:type="paragraph" w:customStyle="1" w:styleId="Gwka">
    <w:name w:val="Główka"/>
    <w:basedOn w:val="Normalny"/>
    <w:rsid w:val="00464CD8"/>
    <w:pPr>
      <w:tabs>
        <w:tab w:val="center" w:pos="4536"/>
        <w:tab w:val="right" w:pos="9072"/>
      </w:tabs>
      <w:spacing w:before="0" w:after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4CD8"/>
    <w:pPr>
      <w:tabs>
        <w:tab w:val="center" w:pos="4536"/>
        <w:tab w:val="right" w:pos="9072"/>
      </w:tabs>
      <w:spacing w:before="0" w:after="0"/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64CD8"/>
    <w:rPr>
      <w:rFonts w:ascii="Calibri" w:eastAsia="Times New Roman" w:hAnsi="Calibri" w:cs="Times New Roman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64CD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4CD8"/>
    <w:rPr>
      <w:rFonts w:ascii="Calibri" w:eastAsia="Times New Roman" w:hAnsi="Calibri" w:cs="Calibri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64CD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64CD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4C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CD8"/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png@01D27339.F058FE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FD48-5D32-4683-A04F-39FFD36B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Kruk-Bogusz</dc:creator>
  <cp:keywords/>
  <dc:description/>
  <cp:lastModifiedBy>Tomasz Gutowski</cp:lastModifiedBy>
  <cp:revision>6</cp:revision>
  <dcterms:created xsi:type="dcterms:W3CDTF">2017-11-07T12:35:00Z</dcterms:created>
  <dcterms:modified xsi:type="dcterms:W3CDTF">2017-12-08T11:17:00Z</dcterms:modified>
</cp:coreProperties>
</file>